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6F" w:rsidRDefault="0030556F" w:rsidP="0030556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63636"/>
          <w:sz w:val="9"/>
          <w:szCs w:val="9"/>
        </w:rPr>
      </w:pPr>
      <w:r>
        <w:rPr>
          <w:rFonts w:ascii="Arial" w:hAnsi="Arial" w:cs="Arial"/>
          <w:color w:val="363636"/>
          <w:sz w:val="9"/>
          <w:szCs w:val="9"/>
        </w:rPr>
        <w:t> </w:t>
      </w:r>
      <w:r>
        <w:rPr>
          <w:rStyle w:val="Pogrubienie"/>
          <w:rFonts w:ascii="Arial" w:hAnsi="Arial" w:cs="Arial"/>
          <w:color w:val="363636"/>
          <w:bdr w:val="none" w:sz="0" w:space="0" w:color="auto" w:frame="1"/>
        </w:rPr>
        <w:t>POLFLEX – nawierzchnia amortyzująca upadki w</w:t>
      </w:r>
      <w:r>
        <w:rPr>
          <w:rFonts w:ascii="Arial" w:hAnsi="Arial" w:cs="Arial"/>
          <w:color w:val="363636"/>
          <w:bdr w:val="none" w:sz="0" w:space="0" w:color="auto" w:frame="1"/>
        </w:rPr>
        <w:t>ykonana z najwyższej jakości granulatów gumowych EPDM połączonych klejem poliuretanowym, formowanych w płyty o wymiarach 300 mm x 300 mm </w:t>
      </w:r>
    </w:p>
    <w:p w:rsidR="0030556F" w:rsidRDefault="0030556F" w:rsidP="0030556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63636"/>
          <w:sz w:val="9"/>
          <w:szCs w:val="9"/>
        </w:rPr>
      </w:pPr>
      <w:r>
        <w:rPr>
          <w:rFonts w:ascii="Arial" w:hAnsi="Arial" w:cs="Arial"/>
          <w:color w:val="363636"/>
          <w:bdr w:val="none" w:sz="0" w:space="0" w:color="auto" w:frame="1"/>
        </w:rPr>
        <w:t>Grubość nawierzchni wynosi od 42 mm do 105 mm w zależności od jej zdolności do amortyzacji upadku.</w:t>
      </w:r>
    </w:p>
    <w:p w:rsidR="0030556F" w:rsidRDefault="0030556F" w:rsidP="0030556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63636"/>
          <w:sz w:val="9"/>
          <w:szCs w:val="9"/>
        </w:rPr>
      </w:pPr>
      <w:r>
        <w:rPr>
          <w:rFonts w:ascii="Arial" w:hAnsi="Arial" w:cs="Arial"/>
          <w:color w:val="363636"/>
          <w:bdr w:val="none" w:sz="0" w:space="0" w:color="auto" w:frame="1"/>
        </w:rPr>
        <w:t>Każda płyta zbudowana jest z dwóch warstw.</w:t>
      </w:r>
    </w:p>
    <w:p w:rsidR="0030556F" w:rsidRDefault="0030556F" w:rsidP="0030556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63636"/>
          <w:sz w:val="9"/>
          <w:szCs w:val="9"/>
        </w:rPr>
      </w:pPr>
      <w:r>
        <w:rPr>
          <w:rFonts w:ascii="Arial" w:hAnsi="Arial" w:cs="Arial"/>
          <w:color w:val="363636"/>
          <w:bdr w:val="none" w:sz="0" w:space="0" w:color="auto" w:frame="1"/>
        </w:rPr>
        <w:t>Warstwy górnej - użytkowej wykonanej z kolorowych granulatów oraz warstwy dolnej - amortyzującej.</w:t>
      </w:r>
    </w:p>
    <w:p w:rsidR="0030556F" w:rsidRDefault="0030556F" w:rsidP="0030556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63636"/>
          <w:sz w:val="9"/>
          <w:szCs w:val="9"/>
        </w:rPr>
      </w:pPr>
      <w:r>
        <w:rPr>
          <w:rFonts w:ascii="Arial" w:hAnsi="Arial" w:cs="Arial"/>
          <w:color w:val="363636"/>
          <w:bdr w:val="none" w:sz="0" w:space="0" w:color="auto" w:frame="1"/>
        </w:rPr>
        <w:t>Nawierzchnia przeznaczona jest do montażu na podbudowach betonowych i mineralnych.</w:t>
      </w:r>
    </w:p>
    <w:p w:rsidR="0030556F" w:rsidRDefault="0030556F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</w:pPr>
    </w:p>
    <w:p w:rsidR="0030556F" w:rsidRDefault="0030556F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Nawierzchnia przeznaczona jest do montażu na podbudowach betonowych i mineralnych.</w:t>
      </w:r>
    </w:p>
    <w:p w:rsidR="003D1E56" w:rsidRPr="0030556F" w:rsidRDefault="003D1E56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</w:p>
    <w:p w:rsidR="0030556F" w:rsidRPr="003D1E56" w:rsidRDefault="0030556F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24"/>
          <w:szCs w:val="24"/>
          <w:lang w:eastAsia="pl-PL"/>
        </w:rPr>
      </w:pPr>
      <w:r w:rsidRPr="003D1E56">
        <w:rPr>
          <w:rFonts w:ascii="Arial" w:eastAsia="Times New Roman" w:hAnsi="Arial" w:cs="Arial"/>
          <w:bCs/>
          <w:color w:val="363636"/>
          <w:sz w:val="24"/>
          <w:szCs w:val="24"/>
          <w:lang w:eastAsia="pl-PL"/>
        </w:rPr>
        <w:t>Płyty POLFLEX są: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kolorowe,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elastyczne,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odporne na warunki atmosferyczne (słońce, deszcz, śnieg),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odporne na wysokie i niskie temperatury,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przepuszczalne dla wody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łatwe w montażu i serwisowaniu,</w:t>
      </w:r>
    </w:p>
    <w:p w:rsidR="0030556F" w:rsidRPr="0030556F" w:rsidRDefault="0030556F" w:rsidP="0030556F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przyjazne dla użytkownika. </w:t>
      </w:r>
    </w:p>
    <w:p w:rsidR="0030556F" w:rsidRPr="003D1E56" w:rsidRDefault="0030556F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24"/>
          <w:szCs w:val="24"/>
          <w:lang w:eastAsia="pl-PL"/>
        </w:rPr>
      </w:pPr>
      <w:r w:rsidRPr="003D1E56">
        <w:rPr>
          <w:rFonts w:ascii="Arial" w:eastAsia="Times New Roman" w:hAnsi="Arial" w:cs="Arial"/>
          <w:b/>
          <w:bCs/>
          <w:color w:val="363636"/>
          <w:sz w:val="24"/>
          <w:szCs w:val="24"/>
          <w:lang w:eastAsia="pl-PL"/>
        </w:rPr>
        <w:t>Właściwości amortyzujące płyt POLFLEX:</w:t>
      </w:r>
    </w:p>
    <w:p w:rsidR="0030556F" w:rsidRPr="0030556F" w:rsidRDefault="0030556F" w:rsidP="0030556F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0556F">
        <w:rPr>
          <w:rFonts w:ascii="Arial" w:eastAsia="Times New Roman" w:hAnsi="Arial" w:cs="Arial"/>
          <w:color w:val="363636"/>
          <w:sz w:val="9"/>
          <w:szCs w:val="9"/>
          <w:lang w:eastAsia="pl-PL"/>
        </w:rPr>
        <w:t> </w:t>
      </w:r>
    </w:p>
    <w:tbl>
      <w:tblPr>
        <w:tblW w:w="3375" w:type="dxa"/>
        <w:tblBorders>
          <w:top w:val="single" w:sz="2" w:space="0" w:color="B1B1B1"/>
          <w:left w:val="single" w:sz="2" w:space="0" w:color="B1B1B1"/>
          <w:bottom w:val="single" w:sz="2" w:space="0" w:color="B1B1B1"/>
          <w:right w:val="single" w:sz="2" w:space="0" w:color="B1B1B1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2104"/>
        <w:gridCol w:w="1271"/>
      </w:tblGrid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b/>
                <w:bCs/>
                <w:color w:val="363636"/>
                <w:sz w:val="10"/>
                <w:lang w:eastAsia="pl-PL"/>
              </w:rPr>
              <w:t>Grubość [mm]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b/>
                <w:bCs/>
                <w:color w:val="363636"/>
                <w:sz w:val="10"/>
                <w:lang w:eastAsia="pl-PL"/>
              </w:rPr>
              <w:t>HIC* [m]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  <w:t> 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1,5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1,6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1,9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72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2,2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84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2,5</w:t>
            </w:r>
          </w:p>
        </w:tc>
      </w:tr>
      <w:tr w:rsidR="0030556F" w:rsidRPr="0030556F" w:rsidTr="0030556F"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105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EEEEEE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30556F" w:rsidRPr="0030556F" w:rsidRDefault="0030556F" w:rsidP="003055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3636"/>
                <w:sz w:val="9"/>
                <w:szCs w:val="9"/>
                <w:lang w:eastAsia="pl-PL"/>
              </w:rPr>
            </w:pPr>
            <w:r w:rsidRPr="0030556F">
              <w:rPr>
                <w:rFonts w:ascii="Arial" w:eastAsia="Times New Roman" w:hAnsi="Arial" w:cs="Arial"/>
                <w:color w:val="363636"/>
                <w:sz w:val="24"/>
                <w:szCs w:val="24"/>
                <w:bdr w:val="none" w:sz="0" w:space="0" w:color="auto" w:frame="1"/>
                <w:lang w:eastAsia="pl-PL"/>
              </w:rPr>
              <w:t>3,0</w:t>
            </w:r>
          </w:p>
        </w:tc>
      </w:tr>
    </w:tbl>
    <w:p w:rsidR="0030556F" w:rsidRPr="0030556F" w:rsidRDefault="0030556F" w:rsidP="00305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63636"/>
          <w:sz w:val="9"/>
          <w:szCs w:val="9"/>
          <w:lang w:eastAsia="pl-PL"/>
        </w:rPr>
      </w:pPr>
      <w:r w:rsidRPr="003D1E56">
        <w:rPr>
          <w:rFonts w:ascii="Arial" w:eastAsia="Times New Roman" w:hAnsi="Arial" w:cs="Arial"/>
          <w:b/>
          <w:bCs/>
          <w:color w:val="363636"/>
          <w:sz w:val="24"/>
          <w:szCs w:val="24"/>
          <w:lang w:eastAsia="pl-PL"/>
        </w:rPr>
        <w:t>*HIC</w:t>
      </w:r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 xml:space="preserve"> czyli </w:t>
      </w:r>
      <w:proofErr w:type="spellStart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Head</w:t>
      </w:r>
      <w:proofErr w:type="spellEnd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 xml:space="preserve"> </w:t>
      </w:r>
      <w:proofErr w:type="spellStart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Injury</w:t>
      </w:r>
      <w:proofErr w:type="spellEnd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 xml:space="preserve"> </w:t>
      </w:r>
      <w:proofErr w:type="spellStart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>Criterion</w:t>
      </w:r>
      <w:proofErr w:type="spellEnd"/>
      <w:r w:rsidRPr="0030556F">
        <w:rPr>
          <w:rFonts w:ascii="Arial" w:eastAsia="Times New Roman" w:hAnsi="Arial" w:cs="Arial"/>
          <w:color w:val="363636"/>
          <w:sz w:val="24"/>
          <w:szCs w:val="24"/>
          <w:bdr w:val="none" w:sz="0" w:space="0" w:color="auto" w:frame="1"/>
          <w:lang w:eastAsia="pl-PL"/>
        </w:rPr>
        <w:t xml:space="preserve"> oznacza w języku polskim Kryterium Urazu Głowy. Wartość HIC otrzymana z zarejestrowanej wartości przyspieszenia modelu głowy, podczas jego upuszczenia z pewnej wysokości na określone miejsce badania znajdujące się na nawierzchni badanej. Kryterium urazu głowy powodowanego upadkiem oblicza się według wzoru podanego w normie PN-EN 1177.</w:t>
      </w:r>
    </w:p>
    <w:p w:rsidR="007F3A83" w:rsidRDefault="007F3A83"/>
    <w:sectPr w:rsidR="007F3A83" w:rsidSect="00A4530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2B1F"/>
    <w:multiLevelType w:val="multilevel"/>
    <w:tmpl w:val="0AE8E1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30556F"/>
    <w:rsid w:val="002167D7"/>
    <w:rsid w:val="0030556F"/>
    <w:rsid w:val="003D1E56"/>
    <w:rsid w:val="007F3A83"/>
    <w:rsid w:val="00A45307"/>
    <w:rsid w:val="00D54425"/>
    <w:rsid w:val="00D94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0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055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ARCHIVIA JERZY</dc:creator>
  <cp:lastModifiedBy>ARCHIVIA JERZY</cp:lastModifiedBy>
  <cp:revision>4</cp:revision>
  <dcterms:created xsi:type="dcterms:W3CDTF">2016-06-21T07:54:00Z</dcterms:created>
  <dcterms:modified xsi:type="dcterms:W3CDTF">2016-08-08T06:00:00Z</dcterms:modified>
</cp:coreProperties>
</file>